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77" w:rsidRDefault="006C0C10" w:rsidP="006C0C10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6C0C10" w:rsidRPr="006C0C10" w:rsidRDefault="006C0C10" w:rsidP="006C0C10">
      <w:pPr>
        <w:jc w:val="center"/>
        <w:rPr>
          <w:b/>
        </w:rPr>
      </w:pPr>
      <w:r w:rsidRPr="006C0C10">
        <w:rPr>
          <w:b/>
        </w:rPr>
        <w:t>Сахалинского областного союза организаций профсоюзов</w:t>
      </w:r>
    </w:p>
    <w:p w:rsidR="006C0C10" w:rsidRPr="006C0C10" w:rsidRDefault="006C0C10" w:rsidP="006C0C10">
      <w:pPr>
        <w:jc w:val="center"/>
        <w:rPr>
          <w:b/>
          <w:szCs w:val="28"/>
        </w:rPr>
      </w:pPr>
      <w:r w:rsidRPr="006C0C10">
        <w:rPr>
          <w:b/>
          <w:szCs w:val="28"/>
        </w:rPr>
        <w:t xml:space="preserve">по проекту федерального закона «О </w:t>
      </w:r>
      <w:r w:rsidR="007F0A9A">
        <w:rPr>
          <w:b/>
          <w:szCs w:val="28"/>
        </w:rPr>
        <w:t>внесении и</w:t>
      </w:r>
      <w:r w:rsidRPr="006C0C10">
        <w:rPr>
          <w:b/>
          <w:szCs w:val="28"/>
        </w:rPr>
        <w:t>зменений в отдельные законодательные акты (в части установления минимальных гарантий</w:t>
      </w:r>
    </w:p>
    <w:p w:rsidR="006C0C10" w:rsidRPr="006C0C10" w:rsidRDefault="006C0C10" w:rsidP="006C0C10">
      <w:pPr>
        <w:jc w:val="center"/>
        <w:rPr>
          <w:b/>
          <w:szCs w:val="28"/>
        </w:rPr>
      </w:pPr>
      <w:r w:rsidRPr="006C0C10">
        <w:rPr>
          <w:b/>
          <w:szCs w:val="28"/>
        </w:rPr>
        <w:t>по оплате труда работников)»</w:t>
      </w:r>
    </w:p>
    <w:p w:rsidR="006C0C10" w:rsidRDefault="006C0C10" w:rsidP="006C0C10">
      <w:pPr>
        <w:jc w:val="center"/>
        <w:rPr>
          <w:b/>
        </w:rPr>
      </w:pPr>
    </w:p>
    <w:p w:rsidR="003005BB" w:rsidRDefault="00A70B3A" w:rsidP="00A70B3A">
      <w:pPr>
        <w:spacing w:line="360" w:lineRule="auto"/>
        <w:ind w:firstLine="708"/>
        <w:jc w:val="both"/>
        <w:rPr>
          <w:szCs w:val="28"/>
        </w:rPr>
      </w:pPr>
      <w:r w:rsidRPr="00A70B3A">
        <w:t>29 мая 2015 года на заседании</w:t>
      </w:r>
      <w:r>
        <w:t xml:space="preserve"> Российской трехсторонней комиссии по регулированию социально-трудовых отношений рассматривался проект федерального закона </w:t>
      </w:r>
      <w:r w:rsidRPr="00A70B3A">
        <w:rPr>
          <w:szCs w:val="28"/>
        </w:rPr>
        <w:t>«О внесении изменений в отдельные законодательные акты  (в части установления минимальных гарантий</w:t>
      </w:r>
      <w:r w:rsidR="003005BB">
        <w:rPr>
          <w:szCs w:val="28"/>
        </w:rPr>
        <w:t xml:space="preserve"> </w:t>
      </w:r>
      <w:r w:rsidRPr="00A70B3A">
        <w:rPr>
          <w:szCs w:val="28"/>
        </w:rPr>
        <w:t>по оплате труда работников)»</w:t>
      </w:r>
      <w:r w:rsidR="003005BB">
        <w:rPr>
          <w:szCs w:val="28"/>
        </w:rPr>
        <w:t>.</w:t>
      </w:r>
      <w:r>
        <w:rPr>
          <w:szCs w:val="28"/>
        </w:rPr>
        <w:t xml:space="preserve"> </w:t>
      </w:r>
    </w:p>
    <w:p w:rsidR="00E922BF" w:rsidRPr="006F6ABB" w:rsidRDefault="00E922BF" w:rsidP="00CB2034">
      <w:pPr>
        <w:pStyle w:val="a3"/>
        <w:spacing w:line="360" w:lineRule="auto"/>
        <w:ind w:firstLine="708"/>
        <w:jc w:val="both"/>
        <w:rPr>
          <w:rFonts w:hAnsi="Times New Roman"/>
          <w:sz w:val="28"/>
          <w:szCs w:val="28"/>
        </w:rPr>
      </w:pPr>
      <w:r w:rsidRPr="006F6ABB">
        <w:rPr>
          <w:rFonts w:hAnsi="Times New Roman"/>
          <w:sz w:val="28"/>
          <w:szCs w:val="28"/>
        </w:rPr>
        <w:t>Профсоюзы области по-прежнему категорически против включения в минимальный размер оплаты труда выплат компенсационного и стимулирующего характера, поэтому не поддерживают предлагаемую Правительством РФ редакцию части третьей ст. 133 ТК РФ.</w:t>
      </w:r>
    </w:p>
    <w:p w:rsidR="00E922BF" w:rsidRPr="006F6ABB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6F6ABB">
        <w:rPr>
          <w:rStyle w:val="FontStyle11"/>
          <w:sz w:val="28"/>
          <w:szCs w:val="28"/>
        </w:rPr>
        <w:t>С принятием Конституции РФ 1993 года, провозгласившей установление в Российской Федерации гарантированного минимального размера оплаты труда (ч. 2 ст. 7) и право каждого на вознаграждение за труд без какой бы то ни было дискриминации и не ниже установленного федеральным законом минимального размера оплаты труда (ч. 3 ст. 37), минимальный размер оплаты труда приобрел статус конституционной гарантии.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6F6ABB">
        <w:rPr>
          <w:rStyle w:val="FontStyle11"/>
          <w:sz w:val="28"/>
          <w:szCs w:val="28"/>
        </w:rPr>
        <w:t>Из указанных положений Конституции РФ вытекает, что по своей правовой природе минимальный размер оплаты труда является, прежде</w:t>
      </w:r>
      <w:r w:rsidR="003005BB">
        <w:rPr>
          <w:rStyle w:val="FontStyle11"/>
          <w:sz w:val="28"/>
          <w:szCs w:val="28"/>
        </w:rPr>
        <w:t xml:space="preserve"> </w:t>
      </w:r>
      <w:r w:rsidRPr="00D118BE">
        <w:rPr>
          <w:rStyle w:val="FontStyle11"/>
          <w:sz w:val="28"/>
          <w:szCs w:val="28"/>
        </w:rPr>
        <w:t xml:space="preserve">всего, вознаграждением за труд в виде его нижней планки, устанавливаемой федеральным законом. </w:t>
      </w:r>
      <w:r>
        <w:rPr>
          <w:rStyle w:val="FontStyle11"/>
          <w:sz w:val="28"/>
          <w:szCs w:val="28"/>
        </w:rPr>
        <w:t>П</w:t>
      </w:r>
      <w:r w:rsidRPr="00D118BE">
        <w:rPr>
          <w:rStyle w:val="FontStyle11"/>
          <w:sz w:val="28"/>
          <w:szCs w:val="28"/>
        </w:rPr>
        <w:t xml:space="preserve">оэтому </w:t>
      </w:r>
      <w:r>
        <w:rPr>
          <w:rStyle w:val="FontStyle11"/>
          <w:sz w:val="28"/>
          <w:szCs w:val="28"/>
        </w:rPr>
        <w:t>минимальный размер оплаты труда</w:t>
      </w:r>
      <w:r w:rsidRPr="00D118BE">
        <w:rPr>
          <w:rStyle w:val="FontStyle11"/>
          <w:sz w:val="28"/>
          <w:szCs w:val="28"/>
        </w:rPr>
        <w:t xml:space="preserve"> гарантируется Конституцией РФ в качестве именно миним</w:t>
      </w:r>
      <w:r>
        <w:rPr>
          <w:rStyle w:val="FontStyle11"/>
          <w:sz w:val="28"/>
          <w:szCs w:val="28"/>
        </w:rPr>
        <w:t xml:space="preserve">ального вознаграждения за труд - </w:t>
      </w:r>
      <w:r w:rsidRPr="00D118BE">
        <w:rPr>
          <w:rStyle w:val="FontStyle11"/>
          <w:sz w:val="28"/>
          <w:szCs w:val="28"/>
        </w:rPr>
        <w:t xml:space="preserve">неприкосновенной части заработной платы (оплаты труда работника). </w:t>
      </w:r>
    </w:p>
    <w:p w:rsidR="00E922BF" w:rsidRPr="00D118BE" w:rsidRDefault="00E922BF" w:rsidP="00E922BF">
      <w:pPr>
        <w:pStyle w:val="a3"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И</w:t>
      </w:r>
      <w:r w:rsidRPr="00D118BE">
        <w:rPr>
          <w:rStyle w:val="FontStyle11"/>
          <w:sz w:val="28"/>
          <w:szCs w:val="28"/>
        </w:rPr>
        <w:t xml:space="preserve">нститут минимального размера оплаты труда по своей конституционной природе предназначен для установления того минимума денежных средств, который должен быть гарантирован работнику в качестве </w:t>
      </w:r>
      <w:r w:rsidRPr="00D118BE">
        <w:rPr>
          <w:rStyle w:val="FontStyle11"/>
          <w:sz w:val="28"/>
          <w:szCs w:val="28"/>
        </w:rPr>
        <w:lastRenderedPageBreak/>
        <w:t>вознаграждения за выполнение трудовых обязанностей с учетом прожиточного минимума (постановление Конституционного Суда Российской Федерации от 27 ноября 2008 года № 11-П).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 xml:space="preserve">В системном единстве указанные нормы о </w:t>
      </w:r>
      <w:r>
        <w:rPr>
          <w:rStyle w:val="FontStyle11"/>
          <w:sz w:val="28"/>
          <w:szCs w:val="28"/>
        </w:rPr>
        <w:t>минимальном размере оплаты труда</w:t>
      </w:r>
      <w:r w:rsidRPr="00D118BE">
        <w:rPr>
          <w:rStyle w:val="FontStyle11"/>
          <w:sz w:val="28"/>
          <w:szCs w:val="28"/>
        </w:rPr>
        <w:t xml:space="preserve"> были внесены в Трудовой кодекс РФ (далее - ТК).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Частью 1 ст. 129 ТК, содержащей определение понятия заработной платы (оплаты труда работника), в составе заработной платы предусмотрены следующие три отдельные группы выплат работнику, существенно различающихся по их целевому назначению и по правовому механизму их начисления: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«вознаграждение за труд»  в зависимости  от квалификации работника, сложности, количества, качества и условий выполняемой работы;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«компенсационные выплаты» (доплаты и</w:t>
      </w:r>
      <w:r w:rsidRPr="00D118BE">
        <w:rPr>
          <w:rStyle w:val="FontStyle11"/>
          <w:sz w:val="28"/>
          <w:szCs w:val="28"/>
        </w:rPr>
        <w:t xml:space="preserve"> надбав</w:t>
      </w:r>
      <w:r>
        <w:rPr>
          <w:rStyle w:val="FontStyle11"/>
          <w:sz w:val="28"/>
          <w:szCs w:val="28"/>
        </w:rPr>
        <w:t xml:space="preserve">ки  </w:t>
      </w:r>
      <w:r w:rsidRPr="00D118BE">
        <w:rPr>
          <w:rStyle w:val="FontStyle11"/>
          <w:sz w:val="28"/>
          <w:szCs w:val="28"/>
        </w:rPr>
        <w:t>компенсационного характера, в том числе за работу в условиях, отклоняющихся от нормальных, работу</w:t>
      </w:r>
      <w:r w:rsidR="003005BB">
        <w:rPr>
          <w:rStyle w:val="FontStyle11"/>
          <w:sz w:val="28"/>
          <w:szCs w:val="28"/>
        </w:rPr>
        <w:t xml:space="preserve"> </w:t>
      </w:r>
      <w:r w:rsidRPr="00D118BE">
        <w:rPr>
          <w:rStyle w:val="FontStyle11"/>
          <w:sz w:val="28"/>
          <w:szCs w:val="28"/>
        </w:rPr>
        <w:t>в особых климатических условиях и на территориях, подвергшихся радиоактивному загрязнению, и иные выплаты компенсационного характера);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«стимулирующие выплаты» (доплаты и надбавки стимулирующего характера, премии и иные поощрительные выплаты).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trike/>
          <w:sz w:val="28"/>
          <w:szCs w:val="28"/>
        </w:rPr>
      </w:pPr>
      <w:r w:rsidRPr="00D118BE">
        <w:rPr>
          <w:rStyle w:val="FontStyle11"/>
          <w:sz w:val="28"/>
          <w:szCs w:val="28"/>
        </w:rPr>
        <w:t>Вознаграждение за труд представляет собой не только первую и основную по значимости слагаемую часть заработной платы, но и необходимую ее часть. Та</w:t>
      </w:r>
      <w:bookmarkStart w:id="0" w:name="_GoBack"/>
      <w:bookmarkEnd w:id="0"/>
      <w:r w:rsidRPr="00D118BE">
        <w:rPr>
          <w:rStyle w:val="FontStyle11"/>
          <w:sz w:val="28"/>
          <w:szCs w:val="28"/>
        </w:rPr>
        <w:t xml:space="preserve">к, заработная плата работника может быть сведена лишь к вознаграждению за труд (тарифной ставке, окладу) - при отсутствии компенсационных и стимулирующих выплат. </w:t>
      </w:r>
    </w:p>
    <w:p w:rsidR="00E922BF" w:rsidRDefault="00E922BF" w:rsidP="00E922BF">
      <w:pPr>
        <w:pStyle w:val="a3"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D118BE">
        <w:rPr>
          <w:rStyle w:val="FontStyle11"/>
          <w:sz w:val="28"/>
          <w:szCs w:val="28"/>
        </w:rPr>
        <w:t xml:space="preserve">Вторую составную часть заработной платы в виде компенсационных выплат ТК не только формально отличает от вознаграждения за труд, но и основания назначения компенсационных выплат работнику связывает не с его квалификацией, сложностью, количеством и качеством выполняемой работы, которыми определяется выплачиваемое работнику вознаграждение за труд, а с особыми (отклоняющимися от нормальных) условиями его труда </w:t>
      </w:r>
      <w:r w:rsidRPr="00D118BE">
        <w:rPr>
          <w:rStyle w:val="FontStyle11"/>
          <w:sz w:val="28"/>
          <w:szCs w:val="28"/>
        </w:rPr>
        <w:lastRenderedPageBreak/>
        <w:t>(работы), влекущими дополнительные (повышенные) физиологические и материальные затраты работника, и, как следствие, необходимость компенсирования этих затрат посредством установления работнику повышенной оплаты труда.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 xml:space="preserve">Так, в повышенном размере оплачивается труд работников, занятых на работах в местностях с особыми климатическими условиями (ч. 2 ст. 146 ТК). </w:t>
      </w:r>
      <w:r>
        <w:rPr>
          <w:rStyle w:val="FontStyle11"/>
          <w:sz w:val="28"/>
          <w:szCs w:val="28"/>
        </w:rPr>
        <w:t>С</w:t>
      </w:r>
      <w:r w:rsidRPr="00D118BE">
        <w:rPr>
          <w:rStyle w:val="FontStyle11"/>
          <w:sz w:val="28"/>
          <w:szCs w:val="28"/>
        </w:rPr>
        <w:t>огласно ст. 315 ТК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 В соответствии со ст.ст. 316 и 317 ТК размеры районных коэффициентов и процентных надбавок к заработной плате устанавливаются Правительством РФ. При этом органы государственной власти субъектов РФ и органы местного самоуправления вправе за счет средств соответственно бюджетов субъектов РФ и бюджетов муниципальных образований устанавливать более высокие размеры районных коэффициентов и процентных надбавок к заработной плате для учреждений, финансируемых соответственно из средств бюджетов субъектов РФ и муниципальных бюджетов.</w:t>
      </w:r>
    </w:p>
    <w:p w:rsidR="00E922BF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  <w:r w:rsidRPr="00D118BE">
        <w:rPr>
          <w:rStyle w:val="FontStyle11"/>
          <w:sz w:val="28"/>
          <w:szCs w:val="28"/>
        </w:rPr>
        <w:t xml:space="preserve">Проведенное сопоставление вознаграждения за труд и компенсационных выплат, выявившее различную правовую природу этих двух составных частей заработной платы, указывает </w:t>
      </w:r>
      <w:r w:rsidRPr="00D118BE">
        <w:rPr>
          <w:rStyle w:val="FontStyle11"/>
          <w:b/>
          <w:sz w:val="28"/>
          <w:szCs w:val="28"/>
        </w:rPr>
        <w:t xml:space="preserve">на </w:t>
      </w:r>
      <w:r w:rsidRPr="00E922BF">
        <w:rPr>
          <w:rStyle w:val="FontStyle12"/>
          <w:b/>
          <w:i w:val="0"/>
          <w:spacing w:val="0"/>
          <w:sz w:val="28"/>
          <w:szCs w:val="28"/>
        </w:rPr>
        <w:t>неправомерность</w:t>
      </w:r>
      <w:r w:rsidR="00C852CF">
        <w:rPr>
          <w:rStyle w:val="FontStyle12"/>
          <w:b/>
          <w:i w:val="0"/>
          <w:spacing w:val="0"/>
          <w:sz w:val="28"/>
          <w:szCs w:val="28"/>
        </w:rPr>
        <w:t xml:space="preserve"> </w:t>
      </w:r>
      <w:r w:rsidRPr="00D118BE">
        <w:rPr>
          <w:rStyle w:val="FontStyle11"/>
          <w:b/>
          <w:sz w:val="28"/>
          <w:szCs w:val="28"/>
        </w:rPr>
        <w:t xml:space="preserve">их обезличения или отождествления в составе заработной платы и, следовательно, на </w:t>
      </w:r>
      <w:r w:rsidR="00D213D8">
        <w:rPr>
          <w:rStyle w:val="FontStyle11"/>
          <w:b/>
          <w:sz w:val="28"/>
          <w:szCs w:val="28"/>
        </w:rPr>
        <w:t>незаконность</w:t>
      </w:r>
      <w:r w:rsidRPr="00D118BE">
        <w:rPr>
          <w:rStyle w:val="FontStyle11"/>
          <w:b/>
          <w:sz w:val="28"/>
          <w:szCs w:val="28"/>
        </w:rPr>
        <w:t xml:space="preserve"> попыток «включения» компенсационных выплат в </w:t>
      </w:r>
      <w:r>
        <w:rPr>
          <w:rStyle w:val="FontStyle11"/>
          <w:b/>
          <w:sz w:val="28"/>
          <w:szCs w:val="28"/>
        </w:rPr>
        <w:t>минимальный размер оплаты труда</w:t>
      </w:r>
      <w:r w:rsidRPr="00D118BE">
        <w:rPr>
          <w:rStyle w:val="FontStyle11"/>
          <w:b/>
          <w:sz w:val="28"/>
          <w:szCs w:val="28"/>
        </w:rPr>
        <w:t>, являющийся нижней планкой вознаграждения за труд.</w:t>
      </w:r>
    </w:p>
    <w:p w:rsidR="00E922BF" w:rsidRPr="00D118BE" w:rsidRDefault="00E922BF" w:rsidP="00E922BF">
      <w:pPr>
        <w:pStyle w:val="a3"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Правовая природа третьей составной части заработной платы в виде стимулирующих выплат также разительно отличается от правовой природы вознаграждения за труд в целом и устанавливаемой федеральным законом нижней планки вознаграждения за труд (</w:t>
      </w:r>
      <w:r>
        <w:rPr>
          <w:rStyle w:val="FontStyle11"/>
          <w:sz w:val="28"/>
          <w:szCs w:val="28"/>
        </w:rPr>
        <w:t>минимальный размер оплаты труда</w:t>
      </w:r>
      <w:r w:rsidRPr="00D118BE">
        <w:rPr>
          <w:rStyle w:val="FontStyle11"/>
          <w:sz w:val="28"/>
          <w:szCs w:val="28"/>
        </w:rPr>
        <w:t xml:space="preserve">), в частности. Право на стимулирующие выплаты, в отличие от права на вознаграждение за труд, не предусмотрено Конституцией РФ. Если нижняя </w:t>
      </w:r>
      <w:r w:rsidRPr="00D118BE">
        <w:rPr>
          <w:rStyle w:val="FontStyle11"/>
          <w:sz w:val="28"/>
          <w:szCs w:val="28"/>
        </w:rPr>
        <w:lastRenderedPageBreak/>
        <w:t>планка вознаграждения за труд (</w:t>
      </w:r>
      <w:r>
        <w:rPr>
          <w:rStyle w:val="FontStyle11"/>
          <w:sz w:val="28"/>
          <w:szCs w:val="28"/>
        </w:rPr>
        <w:t>минимальный размер оплаты труда</w:t>
      </w:r>
      <w:r w:rsidRPr="00D118BE">
        <w:rPr>
          <w:rStyle w:val="FontStyle11"/>
          <w:sz w:val="28"/>
          <w:szCs w:val="28"/>
        </w:rPr>
        <w:t>) устанавливается федеральным законом, то к установлению размеров стимулирующих выплат законодатель не имеет отношения.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Существенны различия в предназначении вознаграждения за труд и стимулирующих выплат. В соответствии с наименованием последних их целью является стимулирование высокоэффективного труда.</w:t>
      </w:r>
    </w:p>
    <w:p w:rsidR="00E922BF" w:rsidRPr="00D118BE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D118BE">
        <w:rPr>
          <w:rStyle w:val="FontStyle11"/>
          <w:sz w:val="28"/>
          <w:szCs w:val="28"/>
        </w:rPr>
        <w:t>Цель же вознаграждения за труд - воспроизводство работника и его семьи, что вытекает, например, из: Всеобщей декларации прав человека (п. 3 ст. 23), Международного пакта об экономических, социальных и культурных правах (п. «а» ст. 7), Европейской социальной хартии (пересмот</w:t>
      </w:r>
      <w:r>
        <w:rPr>
          <w:rStyle w:val="FontStyle11"/>
          <w:sz w:val="28"/>
          <w:szCs w:val="28"/>
        </w:rPr>
        <w:t>ренной (п. 1 ст. 4)</w:t>
      </w:r>
      <w:r w:rsidRPr="00D118BE">
        <w:rPr>
          <w:rStyle w:val="FontStyle11"/>
          <w:sz w:val="28"/>
          <w:szCs w:val="28"/>
        </w:rPr>
        <w:t>.</w:t>
      </w:r>
    </w:p>
    <w:p w:rsidR="00E922BF" w:rsidRDefault="00E922BF" w:rsidP="00E922BF">
      <w:pPr>
        <w:pStyle w:val="a3"/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>Из различий</w:t>
      </w:r>
      <w:r w:rsidRPr="00D118BE">
        <w:rPr>
          <w:rStyle w:val="FontStyle11"/>
          <w:sz w:val="28"/>
          <w:szCs w:val="28"/>
        </w:rPr>
        <w:t xml:space="preserve"> правовой природы и предназначений вознаграждения за труд и стимулирующих выплат вытекают </w:t>
      </w:r>
      <w:r w:rsidRPr="00D118BE">
        <w:rPr>
          <w:rStyle w:val="FontStyle11"/>
          <w:b/>
          <w:sz w:val="28"/>
          <w:szCs w:val="28"/>
        </w:rPr>
        <w:t>неправомерность их обезличения или отождествления в составе заработной платы и незаконность попыток «включения» стимулирующих выплат</w:t>
      </w:r>
      <w:r>
        <w:rPr>
          <w:rStyle w:val="FontStyle11"/>
          <w:b/>
          <w:sz w:val="28"/>
          <w:szCs w:val="28"/>
        </w:rPr>
        <w:t xml:space="preserve"> в</w:t>
      </w:r>
      <w:r w:rsidR="00C852CF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минимальный размер оплаты труда, являющийся нижней планкой</w:t>
      </w:r>
      <w:r w:rsidRPr="00D118BE">
        <w:rPr>
          <w:rStyle w:val="FontStyle11"/>
          <w:b/>
          <w:sz w:val="28"/>
          <w:szCs w:val="28"/>
        </w:rPr>
        <w:t xml:space="preserve"> вознаграждения за труд. </w:t>
      </w:r>
    </w:p>
    <w:p w:rsidR="00E922BF" w:rsidRDefault="00E922BF" w:rsidP="00E922BF">
      <w:pPr>
        <w:pStyle w:val="a3"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sz w:val="28"/>
          <w:szCs w:val="28"/>
        </w:rPr>
        <w:t>Кроме того,</w:t>
      </w:r>
      <w:r w:rsidR="00895FB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профсоюзы области не поддерживают предложенную редакцию статьи 1 Федерального закона от 19 июня 2000 г. № 82-ФЗ «О минимальном размере оплаты труда» в части установления минимального размера оплаты труда в процентном соотношении к величине прожиточного минимума трудоспособного населения, устанавливаемой в субъекте РФ. В соответствии со ст. 133 ТК РФ минимальный размер оплаты труда не может быть ниже размера прожиточного минимума трудоспособного населения. Таким образом, предложенная редакция Федерального закона противоречит норме вышеуказанной статьи и в случае принятия этого законопроекта возможно ухудшение социально-экономического положения сахалинце</w:t>
      </w:r>
      <w:r w:rsidR="00895FB1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="00895FB1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курильчан.</w:t>
      </w:r>
    </w:p>
    <w:p w:rsidR="00E922BF" w:rsidRDefault="00E922BF" w:rsidP="00E922BF">
      <w:pPr>
        <w:pStyle w:val="a3"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Также, профсоюзы Сахалинской области не</w:t>
      </w:r>
      <w:r w:rsidR="00895FB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согласны с тем, что минимальный размер оплаты труда на действующий год предлагается исчислять от величины прожиточного минимума трудоспособного населения </w:t>
      </w:r>
      <w:r>
        <w:rPr>
          <w:rStyle w:val="FontStyle11"/>
          <w:sz w:val="28"/>
          <w:szCs w:val="28"/>
        </w:rPr>
        <w:lastRenderedPageBreak/>
        <w:t xml:space="preserve">первого квартала предшествующего года. С учетом роста потребительских цен на товары и услуги в течение календарного года, величина прожиточного минимума трудоспособного населения ежеквартально увеличивается на уровень инфляции (по РФ за 2014 г. 11 процентов), что приведет к значительному отставанию размера минимальной заработной платы от действующей величины прожиточного минимума. С целью недопущения этого разрыва при установлении минимального размера оплаты труда предлагаем исходить из величины прожиточного минимума трудоспособного населения четвертого квартала предшествующего года. </w:t>
      </w:r>
    </w:p>
    <w:p w:rsidR="00E922BF" w:rsidRDefault="00E922BF" w:rsidP="00E922BF">
      <w:pPr>
        <w:pStyle w:val="a3"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DE2543">
        <w:rPr>
          <w:rStyle w:val="FontStyle11"/>
          <w:b/>
          <w:sz w:val="28"/>
          <w:szCs w:val="28"/>
        </w:rPr>
        <w:t>В связи с вышеизложенным, профсоюзы Сахалинской области не поддерживают проект Федерального закона «О внесении изменений в отдельные законодательные акты (в части установления минимальных гарантий по оплате труда работников)»</w:t>
      </w:r>
      <w:r w:rsidR="00C852CF">
        <w:rPr>
          <w:rStyle w:val="FontStyle11"/>
          <w:b/>
          <w:sz w:val="28"/>
          <w:szCs w:val="28"/>
        </w:rPr>
        <w:t>.</w:t>
      </w:r>
      <w:r w:rsidRPr="00DE2543">
        <w:rPr>
          <w:rStyle w:val="FontStyle11"/>
          <w:b/>
          <w:sz w:val="28"/>
          <w:szCs w:val="28"/>
        </w:rPr>
        <w:t xml:space="preserve"> </w:t>
      </w:r>
    </w:p>
    <w:p w:rsidR="00E922BF" w:rsidRPr="00A70B3A" w:rsidRDefault="00E922BF" w:rsidP="00A70B3A">
      <w:pPr>
        <w:spacing w:line="360" w:lineRule="auto"/>
        <w:ind w:firstLine="708"/>
        <w:jc w:val="both"/>
        <w:rPr>
          <w:szCs w:val="28"/>
        </w:rPr>
      </w:pPr>
    </w:p>
    <w:p w:rsidR="00A70B3A" w:rsidRDefault="00A70B3A" w:rsidP="00A70B3A">
      <w:pPr>
        <w:spacing w:line="360" w:lineRule="auto"/>
        <w:jc w:val="center"/>
        <w:rPr>
          <w:b/>
        </w:rPr>
      </w:pPr>
    </w:p>
    <w:p w:rsidR="006C0C10" w:rsidRPr="00A70B3A" w:rsidRDefault="006C0C10" w:rsidP="006C0C10">
      <w:pPr>
        <w:ind w:firstLine="709"/>
        <w:jc w:val="both"/>
      </w:pPr>
    </w:p>
    <w:sectPr w:rsidR="006C0C10" w:rsidRPr="00A70B3A" w:rsidSect="0030252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988" w:rsidRDefault="009F1988" w:rsidP="0030252A">
      <w:r>
        <w:separator/>
      </w:r>
    </w:p>
  </w:endnote>
  <w:endnote w:type="continuationSeparator" w:id="1">
    <w:p w:rsidR="009F1988" w:rsidRDefault="009F1988" w:rsidP="0030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988" w:rsidRDefault="009F1988" w:rsidP="0030252A">
      <w:r>
        <w:separator/>
      </w:r>
    </w:p>
  </w:footnote>
  <w:footnote w:type="continuationSeparator" w:id="1">
    <w:p w:rsidR="009F1988" w:rsidRDefault="009F1988" w:rsidP="0030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25672"/>
      <w:docPartObj>
        <w:docPartGallery w:val="Page Numbers (Top of Page)"/>
        <w:docPartUnique/>
      </w:docPartObj>
    </w:sdtPr>
    <w:sdtContent>
      <w:p w:rsidR="0030252A" w:rsidRDefault="00E821D0">
        <w:pPr>
          <w:pStyle w:val="a4"/>
          <w:jc w:val="center"/>
        </w:pPr>
        <w:r>
          <w:fldChar w:fldCharType="begin"/>
        </w:r>
        <w:r w:rsidR="0030252A">
          <w:instrText>PAGE   \* MERGEFORMAT</w:instrText>
        </w:r>
        <w:r>
          <w:fldChar w:fldCharType="separate"/>
        </w:r>
        <w:r w:rsidR="00C852CF">
          <w:rPr>
            <w:noProof/>
          </w:rPr>
          <w:t>5</w:t>
        </w:r>
        <w:r>
          <w:fldChar w:fldCharType="end"/>
        </w:r>
      </w:p>
    </w:sdtContent>
  </w:sdt>
  <w:p w:rsidR="0030252A" w:rsidRDefault="003025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C10"/>
    <w:rsid w:val="000745C5"/>
    <w:rsid w:val="000B4606"/>
    <w:rsid w:val="000E447C"/>
    <w:rsid w:val="00106F4A"/>
    <w:rsid w:val="003005BB"/>
    <w:rsid w:val="0030252A"/>
    <w:rsid w:val="00336079"/>
    <w:rsid w:val="003832C0"/>
    <w:rsid w:val="00535BDE"/>
    <w:rsid w:val="005D403D"/>
    <w:rsid w:val="0061291A"/>
    <w:rsid w:val="006139CB"/>
    <w:rsid w:val="006C0C10"/>
    <w:rsid w:val="006F590D"/>
    <w:rsid w:val="006F6ABB"/>
    <w:rsid w:val="007F0A9A"/>
    <w:rsid w:val="0083107A"/>
    <w:rsid w:val="00895FB1"/>
    <w:rsid w:val="009F1988"/>
    <w:rsid w:val="00A70B3A"/>
    <w:rsid w:val="00B80131"/>
    <w:rsid w:val="00BF0715"/>
    <w:rsid w:val="00C57E6E"/>
    <w:rsid w:val="00C852CF"/>
    <w:rsid w:val="00CB2034"/>
    <w:rsid w:val="00CB2877"/>
    <w:rsid w:val="00D213D8"/>
    <w:rsid w:val="00E51A84"/>
    <w:rsid w:val="00E62F68"/>
    <w:rsid w:val="00E821D0"/>
    <w:rsid w:val="00E922BF"/>
    <w:rsid w:val="00E97C00"/>
    <w:rsid w:val="00EB2964"/>
    <w:rsid w:val="00EC1040"/>
    <w:rsid w:val="00F11E44"/>
    <w:rsid w:val="00FA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31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character" w:customStyle="1" w:styleId="FontStyle11">
    <w:name w:val="Font Style11"/>
    <w:basedOn w:val="a0"/>
    <w:uiPriority w:val="99"/>
    <w:rsid w:val="00E922B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922BF"/>
    <w:rPr>
      <w:rFonts w:ascii="Times New Roman" w:hAnsi="Times New Roman" w:cs="Times New Roman"/>
      <w:i/>
      <w:iCs/>
      <w:spacing w:val="-40"/>
      <w:sz w:val="38"/>
      <w:szCs w:val="38"/>
    </w:rPr>
  </w:style>
  <w:style w:type="character" w:customStyle="1" w:styleId="FontStyle18">
    <w:name w:val="Font Style18"/>
    <w:basedOn w:val="a0"/>
    <w:uiPriority w:val="99"/>
    <w:rsid w:val="00E922BF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2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52A"/>
  </w:style>
  <w:style w:type="paragraph" w:styleId="a6">
    <w:name w:val="footer"/>
    <w:basedOn w:val="a"/>
    <w:link w:val="a7"/>
    <w:uiPriority w:val="99"/>
    <w:unhideWhenUsed/>
    <w:rsid w:val="00302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52A"/>
  </w:style>
  <w:style w:type="paragraph" w:styleId="a8">
    <w:name w:val="Balloon Text"/>
    <w:basedOn w:val="a"/>
    <w:link w:val="a9"/>
    <w:uiPriority w:val="99"/>
    <w:semiHidden/>
    <w:unhideWhenUsed/>
    <w:rsid w:val="003025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31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character" w:customStyle="1" w:styleId="FontStyle11">
    <w:name w:val="Font Style11"/>
    <w:basedOn w:val="a0"/>
    <w:uiPriority w:val="99"/>
    <w:rsid w:val="00E922B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922BF"/>
    <w:rPr>
      <w:rFonts w:ascii="Times New Roman" w:hAnsi="Times New Roman" w:cs="Times New Roman"/>
      <w:i/>
      <w:iCs/>
      <w:spacing w:val="-40"/>
      <w:sz w:val="38"/>
      <w:szCs w:val="38"/>
    </w:rPr>
  </w:style>
  <w:style w:type="character" w:customStyle="1" w:styleId="FontStyle18">
    <w:name w:val="Font Style18"/>
    <w:basedOn w:val="a0"/>
    <w:uiPriority w:val="99"/>
    <w:rsid w:val="00E922BF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2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52A"/>
  </w:style>
  <w:style w:type="paragraph" w:styleId="a6">
    <w:name w:val="footer"/>
    <w:basedOn w:val="a"/>
    <w:link w:val="a7"/>
    <w:uiPriority w:val="99"/>
    <w:unhideWhenUsed/>
    <w:rsid w:val="00302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52A"/>
  </w:style>
  <w:style w:type="paragraph" w:styleId="a8">
    <w:name w:val="Balloon Text"/>
    <w:basedOn w:val="a"/>
    <w:link w:val="a9"/>
    <w:uiPriority w:val="99"/>
    <w:semiHidden/>
    <w:unhideWhenUsed/>
    <w:rsid w:val="003025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2015-06-30T02:25:00Z</cp:lastPrinted>
  <dcterms:created xsi:type="dcterms:W3CDTF">2015-06-25T03:40:00Z</dcterms:created>
  <dcterms:modified xsi:type="dcterms:W3CDTF">2015-06-30T02:26:00Z</dcterms:modified>
</cp:coreProperties>
</file>